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21C9" w14:textId="77777777" w:rsidR="00541941" w:rsidRPr="00DB6850" w:rsidRDefault="00B87784">
      <w:pPr>
        <w:spacing w:before="100" w:after="100" w:line="300" w:lineRule="atLeast"/>
        <w:outlineLvl w:val="0"/>
        <w:rPr>
          <w:rFonts w:ascii="Sofia Pro" w:eastAsia="Times New Roman" w:hAnsi="Sofia Pro" w:cs="Segoe UI"/>
          <w:b/>
          <w:bCs/>
          <w:sz w:val="48"/>
          <w:szCs w:val="48"/>
          <w:lang w:eastAsia="en-GB"/>
        </w:rPr>
      </w:pPr>
      <w:r w:rsidRPr="00DB6850">
        <w:rPr>
          <w:rFonts w:ascii="Sofia Pro" w:eastAsia="Times New Roman" w:hAnsi="Sofia Pro" w:cs="Segoe UI"/>
          <w:b/>
          <w:bCs/>
          <w:sz w:val="48"/>
          <w:szCs w:val="48"/>
          <w:lang w:eastAsia="en-GB"/>
        </w:rPr>
        <w:t>Whistleblowing Policy</w:t>
      </w:r>
    </w:p>
    <w:p w14:paraId="6A8D2031" w14:textId="77777777" w:rsidR="00541941" w:rsidRPr="00DB6850" w:rsidRDefault="00B87784">
      <w:pPr>
        <w:spacing w:before="100" w:after="100" w:line="300" w:lineRule="atLeast"/>
        <w:rPr>
          <w:rFonts w:ascii="Sofia Pro" w:eastAsia="Times New Roman" w:hAnsi="Sofia Pro" w:cs="Segoe UI"/>
          <w:i/>
          <w:iCs/>
          <w:kern w:val="0"/>
          <w:sz w:val="21"/>
          <w:szCs w:val="21"/>
          <w:lang w:eastAsia="en-GB"/>
        </w:rPr>
      </w:pPr>
      <w:r w:rsidRPr="00DB6850">
        <w:rPr>
          <w:rFonts w:ascii="Sofia Pro" w:eastAsia="Times New Roman" w:hAnsi="Sofia Pro" w:cs="Segoe UI"/>
          <w:i/>
          <w:iCs/>
          <w:kern w:val="0"/>
          <w:sz w:val="21"/>
          <w:szCs w:val="21"/>
          <w:lang w:eastAsia="en-GB"/>
        </w:rPr>
        <w:t>Updated to reflect UK GDPR, Data Protection Act 2018, Data (Use and Access) Act 2025–2026, the Public Interest Disclosure Act 1998 (as amended), Employment Rights Act 1996 (as amended), ICO 2024–2026 guidance, and current UK charity and safeguarding best practice.</w:t>
      </w:r>
    </w:p>
    <w:p w14:paraId="4318E186" w14:textId="77777777" w:rsidR="00541941" w:rsidRPr="00DB6850" w:rsidRDefault="00541941">
      <w:pPr>
        <w:spacing w:before="100" w:after="100" w:line="300" w:lineRule="atLeast"/>
        <w:rPr>
          <w:rFonts w:ascii="Sofia Pro" w:eastAsia="Times New Roman" w:hAnsi="Sofia Pro" w:cs="Segoe UI"/>
          <w:i/>
          <w:iCs/>
          <w:kern w:val="0"/>
          <w:sz w:val="21"/>
          <w:szCs w:val="21"/>
          <w:lang w:eastAsia="en-GB"/>
        </w:rPr>
      </w:pPr>
    </w:p>
    <w:p w14:paraId="2C90B6D6" w14:textId="77777777" w:rsidR="00541941" w:rsidRPr="00DB6850" w:rsidRDefault="00B87784">
      <w:pPr>
        <w:spacing w:after="0" w:line="300" w:lineRule="atLeast"/>
        <w:rPr>
          <w:rFonts w:ascii="Sofia Pro" w:hAnsi="Sofia Pro"/>
        </w:rPr>
      </w:pPr>
      <w:r w:rsidRPr="00DB6850">
        <w:rPr>
          <w:rFonts w:ascii="Sofia Pro" w:eastAsia="Times New Roman" w:hAnsi="Sofia Pro" w:cs="Segoe UI"/>
          <w:b/>
          <w:bCs/>
          <w:kern w:val="0"/>
          <w:sz w:val="21"/>
          <w:szCs w:val="21"/>
          <w:lang w:eastAsia="en-GB"/>
        </w:rPr>
        <w:t xml:space="preserve">Policy Owner: </w:t>
      </w:r>
      <w:r w:rsidRPr="00DB6850">
        <w:rPr>
          <w:rFonts w:ascii="Sofia Pro" w:eastAsia="Times New Roman" w:hAnsi="Sofia Pro" w:cs="Segoe UI"/>
          <w:kern w:val="0"/>
          <w:sz w:val="21"/>
          <w:szCs w:val="21"/>
          <w:lang w:eastAsia="en-GB"/>
        </w:rPr>
        <w:t>CEO of The Switch</w:t>
      </w:r>
    </w:p>
    <w:p w14:paraId="46C2EB76" w14:textId="77777777" w:rsidR="00541941" w:rsidRPr="00DB6850" w:rsidRDefault="00B87784">
      <w:pPr>
        <w:spacing w:after="0" w:line="300" w:lineRule="atLeast"/>
        <w:rPr>
          <w:rFonts w:ascii="Sofia Pro" w:hAnsi="Sofia Pro"/>
        </w:rPr>
      </w:pPr>
      <w:r w:rsidRPr="00DB6850">
        <w:rPr>
          <w:rFonts w:ascii="Sofia Pro" w:eastAsia="Times New Roman" w:hAnsi="Sofia Pro" w:cs="Segoe UI"/>
          <w:b/>
          <w:bCs/>
          <w:kern w:val="0"/>
          <w:sz w:val="21"/>
          <w:szCs w:val="21"/>
          <w:lang w:eastAsia="en-GB"/>
        </w:rPr>
        <w:t xml:space="preserve">Date Approved: </w:t>
      </w:r>
      <w:r w:rsidRPr="00DB6850">
        <w:rPr>
          <w:rFonts w:ascii="Sofia Pro" w:eastAsia="Times New Roman" w:hAnsi="Sofia Pro" w:cs="Segoe UI"/>
          <w:kern w:val="0"/>
          <w:sz w:val="21"/>
          <w:szCs w:val="21"/>
          <w:lang w:eastAsia="en-GB"/>
        </w:rPr>
        <w:t>January 2026</w:t>
      </w:r>
    </w:p>
    <w:p w14:paraId="3ECFDECA" w14:textId="14A9450B" w:rsidR="00541941" w:rsidRPr="00DB6850" w:rsidRDefault="00B87784">
      <w:pPr>
        <w:spacing w:after="0" w:line="300" w:lineRule="atLeast"/>
        <w:rPr>
          <w:rFonts w:ascii="Sofia Pro" w:hAnsi="Sofia Pro"/>
        </w:rPr>
      </w:pPr>
      <w:r w:rsidRPr="00DB6850">
        <w:rPr>
          <w:rFonts w:ascii="Sofia Pro" w:eastAsia="Times New Roman" w:hAnsi="Sofia Pro" w:cs="Segoe UI"/>
          <w:b/>
          <w:bCs/>
          <w:kern w:val="0"/>
          <w:sz w:val="21"/>
          <w:szCs w:val="21"/>
          <w:lang w:eastAsia="en-GB"/>
        </w:rPr>
        <w:t>Last Updated:</w:t>
      </w:r>
      <w:r w:rsidRPr="00DB6850">
        <w:rPr>
          <w:rFonts w:ascii="Sofia Pro" w:eastAsia="Times New Roman" w:hAnsi="Sofia Pro" w:cs="Segoe UI"/>
          <w:kern w:val="0"/>
          <w:sz w:val="21"/>
          <w:szCs w:val="21"/>
          <w:lang w:eastAsia="en-GB"/>
        </w:rPr>
        <w:t xml:space="preserve"> </w:t>
      </w:r>
      <w:r w:rsidR="009224B5">
        <w:rPr>
          <w:rFonts w:ascii="Sofia Pro" w:eastAsia="Times New Roman" w:hAnsi="Sofia Pro" w:cs="Segoe UI"/>
          <w:kern w:val="0"/>
          <w:sz w:val="21"/>
          <w:szCs w:val="21"/>
          <w:lang w:eastAsia="en-GB"/>
        </w:rPr>
        <w:t>February</w:t>
      </w:r>
      <w:r w:rsidRPr="00DB6850">
        <w:rPr>
          <w:rFonts w:ascii="Sofia Pro" w:eastAsia="Times New Roman" w:hAnsi="Sofia Pro" w:cs="Segoe UI"/>
          <w:kern w:val="0"/>
          <w:sz w:val="21"/>
          <w:szCs w:val="21"/>
          <w:lang w:eastAsia="en-GB"/>
        </w:rPr>
        <w:t xml:space="preserve"> 2026</w:t>
      </w:r>
    </w:p>
    <w:p w14:paraId="47A2CBD1" w14:textId="77777777" w:rsidR="00541941" w:rsidRPr="00DB6850" w:rsidRDefault="00B87784">
      <w:pPr>
        <w:spacing w:after="0" w:line="300" w:lineRule="atLeast"/>
        <w:rPr>
          <w:rFonts w:ascii="Sofia Pro" w:hAnsi="Sofia Pro"/>
        </w:rPr>
      </w:pPr>
      <w:r w:rsidRPr="00DB6850">
        <w:rPr>
          <w:rFonts w:ascii="Sofia Pro" w:eastAsia="Times New Roman" w:hAnsi="Sofia Pro" w:cs="Segoe UI"/>
          <w:b/>
          <w:bCs/>
          <w:kern w:val="0"/>
          <w:sz w:val="21"/>
          <w:szCs w:val="21"/>
          <w:lang w:eastAsia="en-GB"/>
        </w:rPr>
        <w:t xml:space="preserve">Next Review Due: </w:t>
      </w:r>
      <w:r w:rsidRPr="00DB6850">
        <w:rPr>
          <w:rFonts w:ascii="Sofia Pro" w:eastAsia="Times New Roman" w:hAnsi="Sofia Pro" w:cs="Segoe UI"/>
          <w:kern w:val="0"/>
          <w:sz w:val="21"/>
          <w:szCs w:val="21"/>
          <w:lang w:eastAsia="en-GB"/>
        </w:rPr>
        <w:t>January 2028</w:t>
      </w:r>
    </w:p>
    <w:p w14:paraId="4B71E1FF"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5C3A74F8" wp14:editId="49A62F20">
                <wp:extent cx="41614728" cy="1271"/>
                <wp:effectExtent l="0" t="0" r="28572" b="36829"/>
                <wp:docPr id="837731457" name="Horizontal Line 50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FF21DB0" id="Horizontal Line 50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AF7E201"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1. Scope</w:t>
      </w:r>
    </w:p>
    <w:p w14:paraId="42A62F8F"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1.1</w:t>
      </w:r>
      <w:r w:rsidRPr="00DB6850">
        <w:rPr>
          <w:rFonts w:ascii="Sofia Pro" w:eastAsia="Times New Roman" w:hAnsi="Sofia Pro" w:cs="Segoe UI"/>
          <w:kern w:val="0"/>
          <w:sz w:val="21"/>
          <w:szCs w:val="21"/>
          <w:lang w:eastAsia="en-GB"/>
        </w:rPr>
        <w:br/>
        <w:t xml:space="preserve">This Whistleblowing Policy applies to all workers, employees, volunteers, contractors, sessional workers, trustees, and programme partners engaged by </w:t>
      </w:r>
      <w:r w:rsidRPr="00DB6850">
        <w:rPr>
          <w:rFonts w:ascii="Sofia Pro" w:eastAsia="Times New Roman" w:hAnsi="Sofia Pro" w:cs="Segoe UI"/>
          <w:b/>
          <w:bCs/>
          <w:kern w:val="0"/>
          <w:sz w:val="21"/>
          <w:szCs w:val="21"/>
          <w:lang w:eastAsia="en-GB"/>
        </w:rPr>
        <w:t>The Switch</w:t>
      </w:r>
      <w:r w:rsidRPr="00DB6850">
        <w:rPr>
          <w:rFonts w:ascii="Sofia Pro" w:eastAsia="Times New Roman" w:hAnsi="Sofia Pro" w:cs="Segoe UI"/>
          <w:kern w:val="0"/>
          <w:sz w:val="21"/>
          <w:szCs w:val="21"/>
          <w:lang w:eastAsia="en-GB"/>
        </w:rPr>
        <w:t>.</w:t>
      </w:r>
    </w:p>
    <w:p w14:paraId="7C7B49B4"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1.2</w:t>
      </w:r>
      <w:r w:rsidRPr="00DB6850">
        <w:rPr>
          <w:rFonts w:ascii="Sofia Pro" w:eastAsia="Times New Roman" w:hAnsi="Sofia Pro" w:cs="Segoe UI"/>
          <w:kern w:val="0"/>
          <w:sz w:val="21"/>
          <w:szCs w:val="21"/>
          <w:lang w:eastAsia="en-GB"/>
        </w:rPr>
        <w:br/>
        <w:t xml:space="preserve">Whistleblowing is distinct from a personal complaint or grievance. A whistleblower is raising a concern </w:t>
      </w:r>
      <w:r w:rsidRPr="00DB6850">
        <w:rPr>
          <w:rFonts w:ascii="Sofia Pro" w:eastAsia="Times New Roman" w:hAnsi="Sofia Pro" w:cs="Segoe UI"/>
          <w:b/>
          <w:bCs/>
          <w:kern w:val="0"/>
          <w:sz w:val="21"/>
          <w:szCs w:val="21"/>
          <w:lang w:eastAsia="en-GB"/>
        </w:rPr>
        <w:t>in the public interest</w:t>
      </w:r>
      <w:r w:rsidRPr="00DB6850">
        <w:rPr>
          <w:rFonts w:ascii="Sofia Pro" w:eastAsia="Times New Roman" w:hAnsi="Sofia Pro" w:cs="Segoe UI"/>
          <w:kern w:val="0"/>
          <w:sz w:val="21"/>
          <w:szCs w:val="21"/>
          <w:lang w:eastAsia="en-GB"/>
        </w:rPr>
        <w:t xml:space="preserve"> about wrongdoing that may affect individuals, students, volunteers, partner schools, staff, or the organisation.</w:t>
      </w:r>
    </w:p>
    <w:p w14:paraId="20C7668B" w14:textId="499C050A"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1.3</w:t>
      </w:r>
      <w:r w:rsidRPr="00DB6850">
        <w:rPr>
          <w:rFonts w:ascii="Sofia Pro" w:eastAsia="Times New Roman" w:hAnsi="Sofia Pro" w:cs="Segoe UI"/>
          <w:kern w:val="0"/>
          <w:sz w:val="21"/>
          <w:szCs w:val="21"/>
          <w:lang w:eastAsia="en-GB"/>
        </w:rPr>
        <w:br/>
        <w:t>Complaints from members of the public</w:t>
      </w:r>
      <w:r w:rsidRPr="00DB6850">
        <w:rPr>
          <w:rFonts w:ascii="Sofia Pro" w:eastAsia="Times New Roman" w:hAnsi="Sofia Pro" w:cs="Segoe UI"/>
          <w:sz w:val="21"/>
          <w:szCs w:val="21"/>
          <w:lang w:eastAsia="en-GB"/>
        </w:rPr>
        <w:t xml:space="preserve">, volunteers or organisations are managed through the </w:t>
      </w:r>
      <w:r w:rsidRPr="00DB6850">
        <w:rPr>
          <w:rFonts w:ascii="Sofia Pro" w:eastAsia="Times New Roman" w:hAnsi="Sofia Pro" w:cs="Segoe UI"/>
          <w:b/>
          <w:bCs/>
          <w:sz w:val="21"/>
          <w:szCs w:val="21"/>
          <w:lang w:eastAsia="en-GB"/>
        </w:rPr>
        <w:t>Complaints Procedure</w:t>
      </w:r>
      <w:r w:rsidRPr="00DB6850">
        <w:rPr>
          <w:rFonts w:ascii="Sofia Pro" w:eastAsia="Times New Roman" w:hAnsi="Sofia Pro" w:cs="Segoe UI"/>
          <w:sz w:val="21"/>
          <w:szCs w:val="21"/>
          <w:lang w:eastAsia="en-GB"/>
        </w:rPr>
        <w:t xml:space="preserve"> (separate document) here: </w:t>
      </w:r>
      <w:hyperlink r:id="rId7" w:history="1">
        <w:r w:rsidR="00541941" w:rsidRPr="00DB6850">
          <w:rPr>
            <w:rStyle w:val="Hyperlink"/>
            <w:rFonts w:ascii="Sofia Pro" w:eastAsia="Segoe UI" w:hAnsi="Sofia Pro" w:cs="Segoe UI"/>
            <w:sz w:val="21"/>
            <w:szCs w:val="21"/>
          </w:rPr>
          <w:t>Policies and Procedures - The Switch</w:t>
        </w:r>
      </w:hyperlink>
    </w:p>
    <w:p w14:paraId="1CB5A88E"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sz w:val="21"/>
          <w:szCs w:val="21"/>
          <w:lang w:eastAsia="en-GB"/>
        </w:rPr>
        <w:t xml:space="preserve">Employee grievances follow the </w:t>
      </w:r>
      <w:r w:rsidRPr="00DB6850">
        <w:rPr>
          <w:rFonts w:ascii="Sofia Pro" w:eastAsia="Times New Roman" w:hAnsi="Sofia Pro" w:cs="Segoe UI"/>
          <w:b/>
          <w:bCs/>
          <w:sz w:val="21"/>
          <w:szCs w:val="21"/>
          <w:lang w:eastAsia="en-GB"/>
        </w:rPr>
        <w:t>Grievance Procedure in the staff handbook</w:t>
      </w:r>
      <w:r w:rsidRPr="00DB6850">
        <w:rPr>
          <w:rFonts w:ascii="Sofia Pro" w:eastAsia="Times New Roman" w:hAnsi="Sofia Pro" w:cs="Segoe UI"/>
          <w:sz w:val="21"/>
          <w:szCs w:val="21"/>
          <w:lang w:eastAsia="en-GB"/>
        </w:rPr>
        <w:t>.</w:t>
      </w:r>
    </w:p>
    <w:p w14:paraId="0010230F"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076AC116" wp14:editId="257E1008">
                <wp:extent cx="41614728" cy="1271"/>
                <wp:effectExtent l="0" t="0" r="28572" b="36829"/>
                <wp:docPr id="1240503889" name="Horizontal Line 50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3FD65FE" id="Horizontal Line 50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61DB744"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2. Introduction</w:t>
      </w:r>
    </w:p>
    <w:p w14:paraId="3D0C63C0"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2.1</w:t>
      </w:r>
      <w:r w:rsidRPr="00DB6850">
        <w:rPr>
          <w:rFonts w:ascii="Sofia Pro" w:eastAsia="Times New Roman" w:hAnsi="Sofia Pro" w:cs="Segoe UI"/>
          <w:kern w:val="0"/>
          <w:sz w:val="21"/>
          <w:szCs w:val="21"/>
          <w:lang w:eastAsia="en-GB"/>
        </w:rPr>
        <w:br/>
        <w:t>The Switch is committed to effective risk management and to addressing concerns promptly. Failure to deal with wrongdoing may result in regulatory action, loss of funding, safeguarding breaches, ICO enforcement, reputational damage, and legal consequences.</w:t>
      </w:r>
    </w:p>
    <w:p w14:paraId="1F5B9F27"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2.2</w:t>
      </w:r>
      <w:r w:rsidRPr="00DB6850">
        <w:rPr>
          <w:rFonts w:ascii="Sofia Pro" w:eastAsia="Times New Roman" w:hAnsi="Sofia Pro" w:cs="Segoe UI"/>
          <w:kern w:val="0"/>
          <w:sz w:val="21"/>
          <w:szCs w:val="21"/>
          <w:lang w:eastAsia="en-GB"/>
        </w:rPr>
        <w:br/>
        <w:t>We promote a culture of openness, honesty, and accountability. Employees, volunteers, and contracted staff should feel confident to raise concerns without suffering detriment.</w:t>
      </w:r>
    </w:p>
    <w:p w14:paraId="18F559BC"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2.3</w:t>
      </w:r>
      <w:r w:rsidRPr="00DB6850">
        <w:rPr>
          <w:rFonts w:ascii="Sofia Pro" w:eastAsia="Times New Roman" w:hAnsi="Sofia Pro" w:cs="Segoe UI"/>
          <w:kern w:val="0"/>
          <w:sz w:val="21"/>
          <w:szCs w:val="21"/>
          <w:lang w:eastAsia="en-GB"/>
        </w:rPr>
        <w:br/>
        <w:t xml:space="preserve">This policy aligns with the </w:t>
      </w:r>
      <w:r w:rsidRPr="00DB6850">
        <w:rPr>
          <w:rFonts w:ascii="Sofia Pro" w:eastAsia="Times New Roman" w:hAnsi="Sofia Pro" w:cs="Segoe UI"/>
          <w:b/>
          <w:bCs/>
          <w:kern w:val="0"/>
          <w:sz w:val="21"/>
          <w:szCs w:val="21"/>
          <w:lang w:eastAsia="en-GB"/>
        </w:rPr>
        <w:t>Public Interest Disclosure Act 1998</w:t>
      </w:r>
      <w:r w:rsidRPr="00DB6850">
        <w:rPr>
          <w:rFonts w:ascii="Sofia Pro" w:eastAsia="Times New Roman" w:hAnsi="Sofia Pro" w:cs="Segoe UI"/>
          <w:kern w:val="0"/>
          <w:sz w:val="21"/>
          <w:szCs w:val="21"/>
          <w:lang w:eastAsia="en-GB"/>
        </w:rPr>
        <w:t xml:space="preserve">, the </w:t>
      </w:r>
      <w:r w:rsidRPr="00DB6850">
        <w:rPr>
          <w:rFonts w:ascii="Sofia Pro" w:eastAsia="Times New Roman" w:hAnsi="Sofia Pro" w:cs="Segoe UI"/>
          <w:b/>
          <w:bCs/>
          <w:kern w:val="0"/>
          <w:sz w:val="21"/>
          <w:szCs w:val="21"/>
          <w:lang w:eastAsia="en-GB"/>
        </w:rPr>
        <w:t>Employment Rights Act 1996</w:t>
      </w:r>
      <w:r w:rsidRPr="00DB6850">
        <w:rPr>
          <w:rFonts w:ascii="Sofia Pro" w:eastAsia="Times New Roman" w:hAnsi="Sofia Pro" w:cs="Segoe UI"/>
          <w:kern w:val="0"/>
          <w:sz w:val="21"/>
          <w:szCs w:val="21"/>
          <w:lang w:eastAsia="en-GB"/>
        </w:rPr>
        <w:t xml:space="preserve">, the </w:t>
      </w:r>
      <w:r w:rsidRPr="00DB6850">
        <w:rPr>
          <w:rFonts w:ascii="Sofia Pro" w:eastAsia="Times New Roman" w:hAnsi="Sofia Pro" w:cs="Segoe UI"/>
          <w:b/>
          <w:bCs/>
          <w:kern w:val="0"/>
          <w:sz w:val="21"/>
          <w:szCs w:val="21"/>
          <w:lang w:eastAsia="en-GB"/>
        </w:rPr>
        <w:t>Enterprise and Regulatory Reform Act 2013</w:t>
      </w:r>
      <w:r w:rsidRPr="00DB6850">
        <w:rPr>
          <w:rFonts w:ascii="Sofia Pro" w:eastAsia="Times New Roman" w:hAnsi="Sofia Pro" w:cs="Segoe UI"/>
          <w:kern w:val="0"/>
          <w:sz w:val="21"/>
          <w:szCs w:val="21"/>
          <w:lang w:eastAsia="en-GB"/>
        </w:rPr>
        <w:t xml:space="preserve">, and the </w:t>
      </w:r>
      <w:r w:rsidRPr="00DB6850">
        <w:rPr>
          <w:rFonts w:ascii="Sofia Pro" w:eastAsia="Times New Roman" w:hAnsi="Sofia Pro" w:cs="Segoe UI"/>
          <w:b/>
          <w:bCs/>
          <w:kern w:val="0"/>
          <w:sz w:val="21"/>
          <w:szCs w:val="21"/>
          <w:lang w:eastAsia="en-GB"/>
        </w:rPr>
        <w:t>Public Interest Disclosure (Prescribed Persons) (Amendment) Order 2025</w:t>
      </w:r>
      <w:r w:rsidRPr="00DB6850">
        <w:rPr>
          <w:rFonts w:ascii="Sofia Pro" w:eastAsia="Times New Roman" w:hAnsi="Sofia Pro" w:cs="Segoe UI"/>
          <w:kern w:val="0"/>
          <w:sz w:val="21"/>
          <w:szCs w:val="21"/>
          <w:lang w:eastAsia="en-GB"/>
        </w:rPr>
        <w:t>.</w:t>
      </w:r>
    </w:p>
    <w:p w14:paraId="17804E7A"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7039CEBB" wp14:editId="74BCD53D">
                <wp:extent cx="41614728" cy="1271"/>
                <wp:effectExtent l="0" t="0" r="28572" b="36829"/>
                <wp:docPr id="955934101" name="Horizontal Line 50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973AB93" id="Horizontal Line 50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04F553E"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3. Definition of Whistleblowing and Concerns Covered</w:t>
      </w:r>
    </w:p>
    <w:p w14:paraId="6E860AD4"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lastRenderedPageBreak/>
        <w:t>3.1</w:t>
      </w:r>
      <w:r w:rsidRPr="00DB6850">
        <w:rPr>
          <w:rFonts w:ascii="Sofia Pro" w:eastAsia="Times New Roman" w:hAnsi="Sofia Pro" w:cs="Segoe UI"/>
          <w:kern w:val="0"/>
          <w:sz w:val="21"/>
          <w:szCs w:val="21"/>
          <w:lang w:eastAsia="en-GB"/>
        </w:rPr>
        <w:br/>
        <w:t>Whistleblowing (public interest disclosure) is reporting concerns about improper actions or omissions that could cause harm to others, including children or young people, volunteers, staff, partner schools, or the organisation.</w:t>
      </w:r>
    </w:p>
    <w:p w14:paraId="275A6905"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3.2</w:t>
      </w:r>
      <w:r w:rsidRPr="00DB6850">
        <w:rPr>
          <w:rFonts w:ascii="Sofia Pro" w:eastAsia="Times New Roman" w:hAnsi="Sofia Pro" w:cs="Segoe UI"/>
          <w:kern w:val="0"/>
          <w:sz w:val="21"/>
          <w:szCs w:val="21"/>
          <w:lang w:eastAsia="en-GB"/>
        </w:rPr>
        <w:br/>
        <w:t>Concerns covered by this policy include:</w:t>
      </w:r>
    </w:p>
    <w:p w14:paraId="527B9DFC"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A criminal offence</w:t>
      </w:r>
    </w:p>
    <w:p w14:paraId="6B68BD16"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Fraud, corruption, bribery, or financial misconduct</w:t>
      </w:r>
    </w:p>
    <w:p w14:paraId="2C2AEE74"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Safeguarding concerns, including physical or emotional abuse of students</w:t>
      </w:r>
    </w:p>
    <w:p w14:paraId="060A9C8E"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Serious breaches of safeguarding or child protection procedures</w:t>
      </w:r>
    </w:p>
    <w:p w14:paraId="6024A0D7"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Unauthorised or improper use of The Switch’s funds or property</w:t>
      </w:r>
    </w:p>
    <w:p w14:paraId="783B4D37"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Serious breaches of organisational policies</w:t>
      </w:r>
    </w:p>
    <w:p w14:paraId="160E3384"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Failure to comply with legal obligations</w:t>
      </w:r>
    </w:p>
    <w:p w14:paraId="39DAFE3C"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Health and safety risks</w:t>
      </w:r>
    </w:p>
    <w:p w14:paraId="21580EE1"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Environmental damage</w:t>
      </w:r>
    </w:p>
    <w:p w14:paraId="4A3F815D"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Wrongdoing relating to sanctions or financial restrictions (2025 amendments)</w:t>
      </w:r>
    </w:p>
    <w:p w14:paraId="0152AC66" w14:textId="77777777" w:rsidR="00541941" w:rsidRPr="00DB6850" w:rsidRDefault="00B87784">
      <w:pPr>
        <w:numPr>
          <w:ilvl w:val="0"/>
          <w:numId w:val="1"/>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Concealment of any of the above</w:t>
      </w:r>
    </w:p>
    <w:p w14:paraId="5BAC6FD6"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3.3</w:t>
      </w:r>
      <w:r w:rsidRPr="00DB6850">
        <w:rPr>
          <w:rFonts w:ascii="Sofia Pro" w:eastAsia="Times New Roman" w:hAnsi="Sofia Pro" w:cs="Segoe UI"/>
          <w:kern w:val="0"/>
          <w:sz w:val="21"/>
          <w:szCs w:val="21"/>
          <w:lang w:eastAsia="en-GB"/>
        </w:rPr>
        <w:br/>
        <w:t>Disclosures must be made in good faith and based on a reasonable belief that the information is substantially true.</w:t>
      </w:r>
    </w:p>
    <w:p w14:paraId="014B5A16"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0B4D885D" wp14:editId="38750D5C">
                <wp:extent cx="41614728" cy="1271"/>
                <wp:effectExtent l="0" t="0" r="28572" b="36829"/>
                <wp:docPr id="777315157" name="Horizontal Line 50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4598346" id="Horizontal Line 50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2CBA7CD"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4. Procedure for Raising a Concern</w:t>
      </w:r>
    </w:p>
    <w:p w14:paraId="19F14AF4" w14:textId="6DF42C5C" w:rsidR="00541941" w:rsidRDefault="00B87784">
      <w:p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b/>
          <w:bCs/>
          <w:kern w:val="0"/>
          <w:sz w:val="21"/>
          <w:szCs w:val="21"/>
          <w:lang w:eastAsia="en-GB"/>
        </w:rPr>
        <w:t>4.1</w:t>
      </w:r>
      <w:r w:rsidRPr="00DB6850">
        <w:rPr>
          <w:rFonts w:ascii="Sofia Pro" w:eastAsia="Times New Roman" w:hAnsi="Sofia Pro" w:cs="Segoe UI"/>
          <w:kern w:val="0"/>
          <w:sz w:val="21"/>
          <w:szCs w:val="21"/>
          <w:lang w:eastAsia="en-GB"/>
        </w:rPr>
        <w:br/>
        <w:t xml:space="preserve">The designated Whistleblowing Officer is the </w:t>
      </w:r>
      <w:r w:rsidRPr="00DB6850">
        <w:rPr>
          <w:rFonts w:ascii="Sofia Pro" w:eastAsia="Times New Roman" w:hAnsi="Sofia Pro" w:cs="Segoe UI"/>
          <w:b/>
          <w:bCs/>
          <w:kern w:val="0"/>
          <w:sz w:val="21"/>
          <w:szCs w:val="21"/>
          <w:lang w:eastAsia="en-GB"/>
        </w:rPr>
        <w:t>Chief Executive Officer (CEO)</w:t>
      </w:r>
      <w:r w:rsidRPr="00DB6850">
        <w:rPr>
          <w:rFonts w:ascii="Sofia Pro" w:eastAsia="Times New Roman" w:hAnsi="Sofia Pro" w:cs="Segoe UI"/>
          <w:kern w:val="0"/>
          <w:sz w:val="21"/>
          <w:szCs w:val="21"/>
          <w:lang w:eastAsia="en-GB"/>
        </w:rPr>
        <w:t xml:space="preserve"> of The Switch</w:t>
      </w:r>
      <w:r w:rsidR="003D6B5F">
        <w:rPr>
          <w:rFonts w:ascii="Sofia Pro" w:eastAsia="Times New Roman" w:hAnsi="Sofia Pro" w:cs="Segoe UI"/>
          <w:kern w:val="0"/>
          <w:sz w:val="21"/>
          <w:szCs w:val="21"/>
          <w:lang w:eastAsia="en-GB"/>
        </w:rPr>
        <w:t>:</w:t>
      </w:r>
    </w:p>
    <w:p w14:paraId="3AD73683" w14:textId="07082DDF" w:rsidR="003D6B5F" w:rsidRPr="00DB6850" w:rsidRDefault="000B3A62">
      <w:pPr>
        <w:spacing w:before="100" w:after="100" w:line="300" w:lineRule="atLeast"/>
        <w:rPr>
          <w:rFonts w:ascii="Sofia Pro" w:hAnsi="Sofia Pro"/>
        </w:rPr>
      </w:pPr>
      <w:r>
        <w:rPr>
          <w:rFonts w:ascii="Sofia Pro" w:eastAsia="Times New Roman" w:hAnsi="Sofia Pro" w:cs="Segoe UI"/>
          <w:kern w:val="0"/>
          <w:sz w:val="21"/>
          <w:szCs w:val="21"/>
          <w:lang w:eastAsia="en-GB"/>
        </w:rPr>
        <w:t xml:space="preserve">Email:  </w:t>
      </w:r>
      <w:r w:rsidR="003D6B5F">
        <w:rPr>
          <w:rFonts w:ascii="Sofia Pro" w:eastAsia="Times New Roman" w:hAnsi="Sofia Pro" w:cs="Segoe UI"/>
          <w:kern w:val="0"/>
          <w:sz w:val="21"/>
          <w:szCs w:val="21"/>
          <w:lang w:eastAsia="en-GB"/>
        </w:rPr>
        <w:t>Megan.hunter@theswitch.org</w:t>
      </w:r>
    </w:p>
    <w:p w14:paraId="58D52BA9" w14:textId="77777777" w:rsidR="00541941" w:rsidRDefault="00B87784">
      <w:p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b/>
          <w:bCs/>
          <w:kern w:val="0"/>
          <w:sz w:val="21"/>
          <w:szCs w:val="21"/>
          <w:lang w:eastAsia="en-GB"/>
        </w:rPr>
        <w:t>4.2</w:t>
      </w:r>
      <w:r w:rsidRPr="00DB6850">
        <w:rPr>
          <w:rFonts w:ascii="Sofia Pro" w:eastAsia="Times New Roman" w:hAnsi="Sofia Pro" w:cs="Segoe UI"/>
          <w:kern w:val="0"/>
          <w:sz w:val="21"/>
          <w:szCs w:val="21"/>
          <w:lang w:eastAsia="en-GB"/>
        </w:rPr>
        <w:br/>
        <w:t xml:space="preserve">If the concern involves the CEO, it should be raised with the </w:t>
      </w:r>
      <w:r w:rsidRPr="00DB6850">
        <w:rPr>
          <w:rFonts w:ascii="Sofia Pro" w:eastAsia="Times New Roman" w:hAnsi="Sofia Pro" w:cs="Segoe UI"/>
          <w:b/>
          <w:bCs/>
          <w:kern w:val="0"/>
          <w:sz w:val="21"/>
          <w:szCs w:val="21"/>
          <w:lang w:eastAsia="en-GB"/>
        </w:rPr>
        <w:t>Chair of the Board of Trustees</w:t>
      </w:r>
      <w:r w:rsidRPr="00DB6850">
        <w:rPr>
          <w:rFonts w:ascii="Sofia Pro" w:eastAsia="Times New Roman" w:hAnsi="Sofia Pro" w:cs="Segoe UI"/>
          <w:kern w:val="0"/>
          <w:sz w:val="21"/>
          <w:szCs w:val="21"/>
          <w:lang w:eastAsia="en-GB"/>
        </w:rPr>
        <w:t>, who will act as the Whistleblowing Officer.</w:t>
      </w:r>
    </w:p>
    <w:p w14:paraId="023D452F" w14:textId="01377330" w:rsidR="000B3A62" w:rsidRDefault="000B3A62">
      <w:pPr>
        <w:spacing w:before="100" w:after="100" w:line="300" w:lineRule="atLeast"/>
        <w:rPr>
          <w:rFonts w:ascii="Sofia Pro" w:eastAsia="Times New Roman" w:hAnsi="Sofia Pro" w:cs="Segoe UI"/>
          <w:kern w:val="0"/>
          <w:sz w:val="21"/>
          <w:szCs w:val="21"/>
          <w:lang w:eastAsia="en-GB"/>
        </w:rPr>
      </w:pPr>
      <w:r w:rsidRPr="000B3A62">
        <w:rPr>
          <w:rFonts w:ascii="Sofia Pro" w:eastAsia="Times New Roman" w:hAnsi="Sofia Pro" w:cs="Segoe UI"/>
          <w:kern w:val="0"/>
          <w:sz w:val="21"/>
          <w:szCs w:val="21"/>
          <w:lang w:eastAsia="en-GB"/>
        </w:rPr>
        <w:t>Microsoft Form</w:t>
      </w:r>
      <w:r>
        <w:rPr>
          <w:rFonts w:ascii="Sofia Pro" w:eastAsia="Times New Roman" w:hAnsi="Sofia Pro" w:cs="Segoe UI"/>
          <w:kern w:val="0"/>
          <w:sz w:val="21"/>
          <w:szCs w:val="21"/>
          <w:lang w:eastAsia="en-GB"/>
        </w:rPr>
        <w:t xml:space="preserve">:  </w:t>
      </w:r>
      <w:r w:rsidRPr="000B3A62">
        <w:rPr>
          <w:rFonts w:ascii="Sofia Pro" w:eastAsia="Times New Roman" w:hAnsi="Sofia Pro" w:cs="Segoe UI"/>
          <w:kern w:val="0"/>
          <w:sz w:val="21"/>
          <w:szCs w:val="21"/>
          <w:lang w:eastAsia="en-GB"/>
        </w:rPr>
        <w:t xml:space="preserve"> </w:t>
      </w:r>
      <w:hyperlink r:id="rId8" w:history="1">
        <w:r w:rsidRPr="000B3A62">
          <w:rPr>
            <w:rStyle w:val="Hyperlink"/>
            <w:rFonts w:ascii="Sofia Pro" w:eastAsia="Times New Roman" w:hAnsi="Sofia Pro" w:cs="Segoe UI"/>
            <w:kern w:val="0"/>
            <w:sz w:val="21"/>
            <w:szCs w:val="21"/>
            <w:lang w:eastAsia="en-GB"/>
          </w:rPr>
          <w:t>https://forms.office.com/e/xugbfeNvPC</w:t>
        </w:r>
      </w:hyperlink>
      <w:r w:rsidRPr="000B3A62">
        <w:rPr>
          <w:rFonts w:ascii="Sofia Pro" w:eastAsia="Times New Roman" w:hAnsi="Sofia Pro" w:cs="Segoe UI"/>
          <w:kern w:val="0"/>
          <w:sz w:val="21"/>
          <w:szCs w:val="21"/>
          <w:lang w:eastAsia="en-GB"/>
        </w:rPr>
        <w:t xml:space="preserve"> </w:t>
      </w:r>
    </w:p>
    <w:p w14:paraId="3F8B314A" w14:textId="35CEE0F1" w:rsidR="009224B5" w:rsidRPr="000B3A62" w:rsidRDefault="009224B5">
      <w:pPr>
        <w:spacing w:before="100" w:after="100" w:line="300" w:lineRule="atLeast"/>
        <w:rPr>
          <w:rFonts w:ascii="Sofia Pro" w:eastAsia="Times New Roman" w:hAnsi="Sofia Pro" w:cs="Segoe UI"/>
          <w:kern w:val="0"/>
          <w:sz w:val="21"/>
          <w:szCs w:val="21"/>
          <w:lang w:eastAsia="en-GB"/>
        </w:rPr>
      </w:pPr>
      <w:r>
        <w:rPr>
          <w:rFonts w:ascii="Sofia Pro" w:eastAsia="Times New Roman" w:hAnsi="Sofia Pro" w:cs="Segoe UI"/>
          <w:noProof/>
          <w:kern w:val="0"/>
          <w:sz w:val="21"/>
          <w:szCs w:val="21"/>
          <w:lang w:eastAsia="en-GB"/>
        </w:rPr>
        <w:drawing>
          <wp:inline distT="0" distB="0" distL="0" distR="0" wp14:anchorId="5C98512B" wp14:editId="2A9D4632">
            <wp:extent cx="1083310" cy="1083310"/>
            <wp:effectExtent l="0" t="0" r="2540" b="2540"/>
            <wp:docPr id="172424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46908" name="Picture 17242469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3310" cy="1083310"/>
                    </a:xfrm>
                    <a:prstGeom prst="rect">
                      <a:avLst/>
                    </a:prstGeom>
                  </pic:spPr>
                </pic:pic>
              </a:graphicData>
            </a:graphic>
          </wp:inline>
        </w:drawing>
      </w:r>
    </w:p>
    <w:p w14:paraId="59DA2907" w14:textId="2533B607" w:rsidR="003D6B5F" w:rsidRPr="00DB6850" w:rsidRDefault="000B3A62">
      <w:pPr>
        <w:spacing w:before="100" w:after="100" w:line="300" w:lineRule="atLeast"/>
        <w:rPr>
          <w:rFonts w:ascii="Sofia Pro" w:hAnsi="Sofia Pro"/>
        </w:rPr>
      </w:pPr>
      <w:r>
        <w:rPr>
          <w:rFonts w:ascii="Sofia Pro" w:eastAsia="Times New Roman" w:hAnsi="Sofia Pro" w:cs="Segoe UI"/>
          <w:kern w:val="0"/>
          <w:sz w:val="21"/>
          <w:szCs w:val="21"/>
          <w:lang w:eastAsia="en-GB"/>
        </w:rPr>
        <w:t xml:space="preserve">Email:  </w:t>
      </w:r>
      <w:r w:rsidRPr="000B3A62">
        <w:rPr>
          <w:rFonts w:ascii="Sofia Pro" w:eastAsia="Times New Roman" w:hAnsi="Sofia Pro" w:cs="Segoe UI"/>
          <w:kern w:val="0"/>
          <w:sz w:val="21"/>
          <w:szCs w:val="21"/>
          <w:lang w:eastAsia="en-GB"/>
        </w:rPr>
        <w:t>Whistleblowing@theswitch.org</w:t>
      </w:r>
    </w:p>
    <w:p w14:paraId="04F8D501"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lastRenderedPageBreak/>
        <w:t>4.3</w:t>
      </w:r>
      <w:r w:rsidRPr="00DB6850">
        <w:rPr>
          <w:rFonts w:ascii="Sofia Pro" w:eastAsia="Times New Roman" w:hAnsi="Sofia Pro" w:cs="Segoe UI"/>
          <w:kern w:val="0"/>
          <w:sz w:val="21"/>
          <w:szCs w:val="21"/>
          <w:lang w:eastAsia="en-GB"/>
        </w:rPr>
        <w:br/>
        <w:t>Individuals are encouraged to raise concerns in writing, providing all relevant information such as dates, locations, persons involved, and supporting evidence.</w:t>
      </w:r>
    </w:p>
    <w:p w14:paraId="59103C56"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4.4</w:t>
      </w:r>
      <w:r w:rsidRPr="00DB6850">
        <w:rPr>
          <w:rFonts w:ascii="Sofia Pro" w:eastAsia="Times New Roman" w:hAnsi="Sofia Pro" w:cs="Segoe UI"/>
          <w:kern w:val="0"/>
          <w:sz w:val="21"/>
          <w:szCs w:val="21"/>
          <w:lang w:eastAsia="en-GB"/>
        </w:rPr>
        <w:br/>
        <w:t>Employees may invite a colleague to accompany them during meetings. Volunteers may be supported by a volunteer coordinator.</w:t>
      </w:r>
    </w:p>
    <w:p w14:paraId="5EE79930"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4.5</w:t>
      </w:r>
      <w:r w:rsidRPr="00DB6850">
        <w:rPr>
          <w:rFonts w:ascii="Sofia Pro" w:eastAsia="Times New Roman" w:hAnsi="Sofia Pro" w:cs="Segoe UI"/>
          <w:kern w:val="0"/>
          <w:sz w:val="21"/>
          <w:szCs w:val="21"/>
          <w:lang w:eastAsia="en-GB"/>
        </w:rPr>
        <w:br/>
        <w:t xml:space="preserve">For independent, confidential advice, individuals may contact </w:t>
      </w:r>
      <w:r w:rsidRPr="00DB6850">
        <w:rPr>
          <w:rFonts w:ascii="Sofia Pro" w:eastAsia="Times New Roman" w:hAnsi="Sofia Pro" w:cs="Segoe UI"/>
          <w:b/>
          <w:bCs/>
          <w:kern w:val="0"/>
          <w:sz w:val="21"/>
          <w:szCs w:val="21"/>
          <w:lang w:eastAsia="en-GB"/>
        </w:rPr>
        <w:t>Protect (formerly Public Concern at Work)</w:t>
      </w:r>
      <w:r w:rsidRPr="00DB6850">
        <w:rPr>
          <w:rFonts w:ascii="Sofia Pro" w:eastAsia="Times New Roman" w:hAnsi="Sofia Pro" w:cs="Segoe UI"/>
          <w:kern w:val="0"/>
          <w:sz w:val="21"/>
          <w:szCs w:val="21"/>
          <w:lang w:eastAsia="en-GB"/>
        </w:rPr>
        <w:t>:</w:t>
      </w:r>
    </w:p>
    <w:p w14:paraId="75ECC07E" w14:textId="77777777" w:rsidR="00541941" w:rsidRPr="00DB6850" w:rsidRDefault="00B87784">
      <w:pPr>
        <w:numPr>
          <w:ilvl w:val="0"/>
          <w:numId w:val="2"/>
        </w:numPr>
        <w:spacing w:before="100" w:after="100" w:line="300" w:lineRule="atLeast"/>
        <w:rPr>
          <w:rFonts w:ascii="Sofia Pro" w:eastAsia="Times New Roman" w:hAnsi="Sofia Pro" w:cs="Segoe UI"/>
          <w:kern w:val="0"/>
          <w:sz w:val="21"/>
          <w:szCs w:val="21"/>
          <w:lang w:val="nl-NL" w:eastAsia="en-GB"/>
        </w:rPr>
      </w:pPr>
      <w:r w:rsidRPr="00DB6850">
        <w:rPr>
          <w:rFonts w:ascii="Sofia Pro" w:eastAsia="Times New Roman" w:hAnsi="Sofia Pro" w:cs="Segoe UI"/>
          <w:kern w:val="0"/>
          <w:sz w:val="21"/>
          <w:szCs w:val="21"/>
          <w:lang w:val="nl-NL" w:eastAsia="en-GB"/>
        </w:rPr>
        <w:t>Website: https://protect-advice.org.uk</w:t>
      </w:r>
    </w:p>
    <w:p w14:paraId="16A19DDC" w14:textId="77777777" w:rsidR="00541941" w:rsidRPr="00DB6850" w:rsidRDefault="00B87784">
      <w:pPr>
        <w:numPr>
          <w:ilvl w:val="0"/>
          <w:numId w:val="2"/>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Advice line: 020 3117 2520</w:t>
      </w:r>
    </w:p>
    <w:p w14:paraId="5131AC9B"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4.6</w:t>
      </w:r>
      <w:r w:rsidRPr="00DB6850">
        <w:rPr>
          <w:rFonts w:ascii="Sofia Pro" w:eastAsia="Times New Roman" w:hAnsi="Sofia Pro" w:cs="Segoe UI"/>
          <w:kern w:val="0"/>
          <w:sz w:val="21"/>
          <w:szCs w:val="21"/>
          <w:lang w:eastAsia="en-GB"/>
        </w:rPr>
        <w:br/>
        <w:t>Legal advice obtained from a professional legal adviser is protected under the Public Interest Disclosure Act.</w:t>
      </w:r>
    </w:p>
    <w:p w14:paraId="79B78C2C"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4.7</w:t>
      </w:r>
      <w:r w:rsidRPr="00DB6850">
        <w:rPr>
          <w:rFonts w:ascii="Sofia Pro" w:eastAsia="Times New Roman" w:hAnsi="Sofia Pro" w:cs="Segoe UI"/>
          <w:kern w:val="0"/>
          <w:sz w:val="21"/>
          <w:szCs w:val="21"/>
          <w:lang w:eastAsia="en-GB"/>
        </w:rPr>
        <w:br/>
        <w:t>If the concern relates to another organisation (e.g., a partner school or contractor), the disclosure may be made directly to that organisation.</w:t>
      </w:r>
    </w:p>
    <w:p w14:paraId="11897A55"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4.8</w:t>
      </w:r>
      <w:r w:rsidRPr="00DB6850">
        <w:rPr>
          <w:rFonts w:ascii="Sofia Pro" w:eastAsia="Times New Roman" w:hAnsi="Sofia Pro" w:cs="Segoe UI"/>
          <w:kern w:val="0"/>
          <w:sz w:val="21"/>
          <w:szCs w:val="21"/>
          <w:lang w:eastAsia="en-GB"/>
        </w:rPr>
        <w:br/>
        <w:t xml:space="preserve">If the matter is not appropriately addressed internally, concerns may be escalated to a </w:t>
      </w:r>
      <w:r w:rsidRPr="00DB6850">
        <w:rPr>
          <w:rFonts w:ascii="Sofia Pro" w:eastAsia="Times New Roman" w:hAnsi="Sofia Pro" w:cs="Segoe UI"/>
          <w:b/>
          <w:bCs/>
          <w:kern w:val="0"/>
          <w:sz w:val="21"/>
          <w:szCs w:val="21"/>
          <w:lang w:eastAsia="en-GB"/>
        </w:rPr>
        <w:t>prescribed person</w:t>
      </w:r>
      <w:r w:rsidRPr="00DB6850">
        <w:rPr>
          <w:rFonts w:ascii="Sofia Pro" w:eastAsia="Times New Roman" w:hAnsi="Sofia Pro" w:cs="Segoe UI"/>
          <w:kern w:val="0"/>
          <w:sz w:val="21"/>
          <w:szCs w:val="21"/>
          <w:lang w:eastAsia="en-GB"/>
        </w:rPr>
        <w:t xml:space="preserve"> such as the Charity Commission, the Health and Safety Executive, the Information Commissioner’s Office, HM Treasury (for </w:t>
      </w:r>
      <w:r w:rsidRPr="00DB6850">
        <w:rPr>
          <w:rFonts w:ascii="Sofia Pro" w:eastAsia="Times New Roman" w:hAnsi="Sofia Pro" w:cs="Segoe UI"/>
          <w:sz w:val="21"/>
          <w:szCs w:val="21"/>
          <w:lang w:eastAsia="en-GB"/>
        </w:rPr>
        <w:t>sanctions related concerns), or other relevant regulators.</w:t>
      </w:r>
    </w:p>
    <w:p w14:paraId="6226DC94"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4.9</w:t>
      </w:r>
      <w:r w:rsidRPr="00DB6850">
        <w:rPr>
          <w:rFonts w:ascii="Sofia Pro" w:eastAsia="Times New Roman" w:hAnsi="Sofia Pro" w:cs="Segoe UI"/>
          <w:kern w:val="0"/>
          <w:sz w:val="21"/>
          <w:szCs w:val="21"/>
          <w:lang w:eastAsia="en-GB"/>
        </w:rPr>
        <w:br/>
        <w:t>Exceptionally serious concerns may be reported directly to the police or other statutory authorities.</w:t>
      </w:r>
    </w:p>
    <w:p w14:paraId="07E90178"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7D8E5763" wp14:editId="58BB706B">
                <wp:extent cx="41614728" cy="1271"/>
                <wp:effectExtent l="0" t="0" r="28572" b="36829"/>
                <wp:docPr id="1430287613" name="Horizontal Line 50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AE655E7" id="Horizontal Line 50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0EA1B0F"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5. Protecting the Individual Raising a Concern</w:t>
      </w:r>
    </w:p>
    <w:p w14:paraId="001CC65A"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5.1</w:t>
      </w:r>
      <w:r w:rsidRPr="00DB6850">
        <w:rPr>
          <w:rFonts w:ascii="Sofia Pro" w:eastAsia="Times New Roman" w:hAnsi="Sofia Pro" w:cs="Segoe UI"/>
          <w:kern w:val="0"/>
          <w:sz w:val="21"/>
          <w:szCs w:val="21"/>
          <w:lang w:eastAsia="en-GB"/>
        </w:rPr>
        <w:br/>
        <w:t>Anyone raising a genuine concern will be protected from harassment, victimisation, or dismissal.</w:t>
      </w:r>
    </w:p>
    <w:p w14:paraId="6AF20B23"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5.2</w:t>
      </w:r>
      <w:r w:rsidRPr="00DB6850">
        <w:rPr>
          <w:rFonts w:ascii="Sofia Pro" w:eastAsia="Times New Roman" w:hAnsi="Sofia Pro" w:cs="Segoe UI"/>
          <w:kern w:val="0"/>
          <w:sz w:val="21"/>
          <w:szCs w:val="21"/>
          <w:lang w:eastAsia="en-GB"/>
        </w:rPr>
        <w:br/>
        <w:t>Confidentiality will be maintained wherever possible unless disclosure is required by law.</w:t>
      </w:r>
    </w:p>
    <w:p w14:paraId="62A23081"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5.3</w:t>
      </w:r>
      <w:r w:rsidRPr="00DB6850">
        <w:rPr>
          <w:rFonts w:ascii="Sofia Pro" w:eastAsia="Times New Roman" w:hAnsi="Sofia Pro" w:cs="Segoe UI"/>
          <w:kern w:val="0"/>
          <w:sz w:val="21"/>
          <w:szCs w:val="21"/>
          <w:lang w:eastAsia="en-GB"/>
        </w:rPr>
        <w:br/>
        <w:t>Anonymous concerns will be considered, although they may limit the ability to investigate effectively.</w:t>
      </w:r>
    </w:p>
    <w:p w14:paraId="032BB795"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5.4</w:t>
      </w:r>
      <w:r w:rsidRPr="00DB6850">
        <w:rPr>
          <w:rFonts w:ascii="Sofia Pro" w:eastAsia="Times New Roman" w:hAnsi="Sofia Pro" w:cs="Segoe UI"/>
          <w:kern w:val="0"/>
          <w:sz w:val="21"/>
          <w:szCs w:val="21"/>
          <w:lang w:eastAsia="en-GB"/>
        </w:rPr>
        <w:br/>
        <w:t>Malicious or knowingly false allegations may result in disciplinary action. Individuals are not required to prove wrongdoing but must reasonably believe their disclosure is true.</w:t>
      </w:r>
    </w:p>
    <w:p w14:paraId="3F2E8620"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lastRenderedPageBreak/>
        <w:t>5.5</w:t>
      </w:r>
      <w:r w:rsidRPr="00DB6850">
        <w:rPr>
          <w:rFonts w:ascii="Sofia Pro" w:eastAsia="Times New Roman" w:hAnsi="Sofia Pro" w:cs="Segoe UI"/>
          <w:kern w:val="0"/>
          <w:sz w:val="21"/>
          <w:szCs w:val="21"/>
          <w:lang w:eastAsia="en-GB"/>
        </w:rPr>
        <w:br/>
        <w:t>Protection does not extend to individuals who commit a criminal offence in making a disclosure.</w:t>
      </w:r>
    </w:p>
    <w:p w14:paraId="76DC5FE7"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5.6</w:t>
      </w:r>
      <w:r w:rsidRPr="00DB6850">
        <w:rPr>
          <w:rFonts w:ascii="Sofia Pro" w:eastAsia="Times New Roman" w:hAnsi="Sofia Pro" w:cs="Segoe UI"/>
          <w:kern w:val="0"/>
          <w:sz w:val="21"/>
          <w:szCs w:val="21"/>
          <w:lang w:eastAsia="en-GB"/>
        </w:rPr>
        <w:br/>
        <w:t>Dismissal or detriment following a protected disclosure is automatically unfair under the Employment Rights Act.</w:t>
      </w:r>
    </w:p>
    <w:p w14:paraId="7F580F6F"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29D491AA" wp14:editId="5AE4E399">
                <wp:extent cx="41614728" cy="1271"/>
                <wp:effectExtent l="0" t="0" r="28572" b="36829"/>
                <wp:docPr id="1726163712" name="Horizontal Line 50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F85CC0A" id="Horizontal Line 50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0551287"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6. Procedure for Dealing with the Concern</w:t>
      </w:r>
    </w:p>
    <w:p w14:paraId="0AB4B2F7"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6.1</w:t>
      </w:r>
      <w:r w:rsidRPr="00DB6850">
        <w:rPr>
          <w:rFonts w:ascii="Sofia Pro" w:eastAsia="Times New Roman" w:hAnsi="Sofia Pro" w:cs="Segoe UI"/>
          <w:kern w:val="0"/>
          <w:sz w:val="21"/>
          <w:szCs w:val="21"/>
          <w:lang w:eastAsia="en-GB"/>
        </w:rPr>
        <w:br/>
        <w:t>Concerns may be investigated by:</w:t>
      </w:r>
    </w:p>
    <w:p w14:paraId="51427330" w14:textId="6BB39024" w:rsidR="00541941" w:rsidRPr="00DB6850" w:rsidRDefault="00B87784">
      <w:pPr>
        <w:numPr>
          <w:ilvl w:val="0"/>
          <w:numId w:val="3"/>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The Whistleblowing Officer</w:t>
      </w:r>
      <w:r w:rsidR="003D6B5F">
        <w:rPr>
          <w:rFonts w:ascii="Sofia Pro" w:eastAsia="Times New Roman" w:hAnsi="Sofia Pro" w:cs="Segoe UI"/>
          <w:kern w:val="0"/>
          <w:sz w:val="21"/>
          <w:szCs w:val="21"/>
          <w:lang w:eastAsia="en-GB"/>
        </w:rPr>
        <w:t xml:space="preserve"> (CEO)</w:t>
      </w:r>
    </w:p>
    <w:p w14:paraId="7D49E0E2" w14:textId="77777777" w:rsidR="00541941" w:rsidRPr="00DB6850" w:rsidRDefault="00B87784">
      <w:pPr>
        <w:numPr>
          <w:ilvl w:val="0"/>
          <w:numId w:val="3"/>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The Board of Trustees</w:t>
      </w:r>
    </w:p>
    <w:p w14:paraId="16454640" w14:textId="77777777" w:rsidR="00541941" w:rsidRPr="00DB6850" w:rsidRDefault="00B87784">
      <w:pPr>
        <w:numPr>
          <w:ilvl w:val="0"/>
          <w:numId w:val="3"/>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Internal disciplinary processes</w:t>
      </w:r>
    </w:p>
    <w:p w14:paraId="7AA4BA5F" w14:textId="77777777" w:rsidR="00541941" w:rsidRPr="00DB6850" w:rsidRDefault="00B87784">
      <w:pPr>
        <w:numPr>
          <w:ilvl w:val="0"/>
          <w:numId w:val="3"/>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External authorities such as the police, Charity Commission, ICO, HSE, or other regulators</w:t>
      </w:r>
    </w:p>
    <w:p w14:paraId="1C8EC666"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6.2</w:t>
      </w:r>
      <w:r w:rsidRPr="00DB6850">
        <w:rPr>
          <w:rFonts w:ascii="Sofia Pro" w:eastAsia="Times New Roman" w:hAnsi="Sofia Pro" w:cs="Segoe UI"/>
          <w:kern w:val="0"/>
          <w:sz w:val="21"/>
          <w:szCs w:val="21"/>
          <w:lang w:eastAsia="en-GB"/>
        </w:rPr>
        <w:br/>
        <w:t>Individuals may be required to give evidence if the matter results in disciplinary or legal proceedings.</w:t>
      </w:r>
    </w:p>
    <w:p w14:paraId="2C5E0282"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6.3</w:t>
      </w:r>
      <w:r w:rsidRPr="00DB6850">
        <w:rPr>
          <w:rFonts w:ascii="Sofia Pro" w:eastAsia="Times New Roman" w:hAnsi="Sofia Pro" w:cs="Segoe UI"/>
          <w:kern w:val="0"/>
          <w:sz w:val="21"/>
          <w:szCs w:val="21"/>
          <w:lang w:eastAsia="en-GB"/>
        </w:rPr>
        <w:br/>
        <w:t>Feedback will be provided wherever possible, taking account of confidentiality and legal constraints.</w:t>
      </w:r>
    </w:p>
    <w:p w14:paraId="2D930BB2"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6.4</w:t>
      </w:r>
      <w:r w:rsidRPr="00DB6850">
        <w:rPr>
          <w:rFonts w:ascii="Sofia Pro" w:eastAsia="Times New Roman" w:hAnsi="Sofia Pro" w:cs="Segoe UI"/>
          <w:kern w:val="0"/>
          <w:sz w:val="21"/>
          <w:szCs w:val="21"/>
          <w:lang w:eastAsia="en-GB"/>
        </w:rPr>
        <w:br/>
        <w:t>If suspicions are not confirmed, the matter will be closed without detriment to the whistleblower.</w:t>
      </w:r>
    </w:p>
    <w:p w14:paraId="7D3476AA"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6.5</w:t>
      </w:r>
      <w:r w:rsidRPr="00DB6850">
        <w:rPr>
          <w:rFonts w:ascii="Sofia Pro" w:eastAsia="Times New Roman" w:hAnsi="Sofia Pro" w:cs="Segoe UI"/>
          <w:kern w:val="0"/>
          <w:sz w:val="21"/>
          <w:szCs w:val="21"/>
          <w:lang w:eastAsia="en-GB"/>
        </w:rPr>
        <w:br/>
        <w:t>Where required by funding agreements, concerns may be shared with funders. Where possible, the whistleblower’s identity will remain confidential.</w:t>
      </w:r>
    </w:p>
    <w:p w14:paraId="60B95124"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19FC514E" wp14:editId="7FC7E650">
                <wp:extent cx="41614728" cy="1271"/>
                <wp:effectExtent l="0" t="0" r="28572" b="36829"/>
                <wp:docPr id="1971183259" name="Horizontal Line 50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0C02BB7" id="Horizontal Line 50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06AB5CF"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7. Safeguarding</w:t>
      </w:r>
    </w:p>
    <w:p w14:paraId="58CD96F9"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7.1</w:t>
      </w:r>
      <w:r w:rsidRPr="00DB6850">
        <w:rPr>
          <w:rFonts w:ascii="Sofia Pro" w:eastAsia="Times New Roman" w:hAnsi="Sofia Pro" w:cs="Segoe UI"/>
          <w:kern w:val="0"/>
          <w:sz w:val="21"/>
          <w:szCs w:val="21"/>
          <w:lang w:eastAsia="en-GB"/>
        </w:rPr>
        <w:br/>
        <w:t xml:space="preserve">Whistleblowing concerns involving children or vulnerable adults will be managed in accordance with statutory safeguarding duties, including </w:t>
      </w:r>
      <w:r w:rsidRPr="00DB6850">
        <w:rPr>
          <w:rFonts w:ascii="Sofia Pro" w:eastAsia="Times New Roman" w:hAnsi="Sofia Pro" w:cs="Segoe UI"/>
          <w:b/>
          <w:bCs/>
          <w:kern w:val="0"/>
          <w:sz w:val="21"/>
          <w:szCs w:val="21"/>
          <w:lang w:eastAsia="en-GB"/>
        </w:rPr>
        <w:t>Keeping Children Safe in Education (KCSIE)</w:t>
      </w:r>
      <w:r w:rsidRPr="00DB6850">
        <w:rPr>
          <w:rFonts w:ascii="Sofia Pro" w:eastAsia="Times New Roman" w:hAnsi="Sofia Pro" w:cs="Segoe UI"/>
          <w:kern w:val="0"/>
          <w:sz w:val="21"/>
          <w:szCs w:val="21"/>
          <w:lang w:eastAsia="en-GB"/>
        </w:rPr>
        <w:t>, local authority procedures, and The Switch’s safeguarding policies.</w:t>
      </w:r>
    </w:p>
    <w:p w14:paraId="6225A0F4"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32DB881E" wp14:editId="2B01C6E2">
                <wp:extent cx="41614728" cy="1271"/>
                <wp:effectExtent l="0" t="0" r="28572" b="36829"/>
                <wp:docPr id="574456033" name="Horizontal Line 50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223F4B5" id="Horizontal Line 50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89C89F4"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8. Disclosure to External Bodies</w:t>
      </w:r>
    </w:p>
    <w:p w14:paraId="08654344"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8.1</w:t>
      </w:r>
      <w:r w:rsidRPr="00DB6850">
        <w:rPr>
          <w:rFonts w:ascii="Sofia Pro" w:eastAsia="Times New Roman" w:hAnsi="Sofia Pro" w:cs="Segoe UI"/>
          <w:kern w:val="0"/>
          <w:sz w:val="21"/>
          <w:szCs w:val="21"/>
          <w:lang w:eastAsia="en-GB"/>
        </w:rPr>
        <w:br/>
        <w:t xml:space="preserve">Individuals may disclose concerns to a prescribed person when internal reporting is </w:t>
      </w:r>
      <w:r w:rsidRPr="00DB6850">
        <w:rPr>
          <w:rFonts w:ascii="Sofia Pro" w:eastAsia="Times New Roman" w:hAnsi="Sofia Pro" w:cs="Segoe UI"/>
          <w:kern w:val="0"/>
          <w:sz w:val="21"/>
          <w:szCs w:val="21"/>
          <w:lang w:eastAsia="en-GB"/>
        </w:rPr>
        <w:lastRenderedPageBreak/>
        <w:t>inappropriate or ineffective, when senior leaders are implicated, or when the matter relates to regulated activity overseen by an external authority.</w:t>
      </w:r>
    </w:p>
    <w:p w14:paraId="2FD23137"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8.2</w:t>
      </w:r>
      <w:r w:rsidRPr="00DB6850">
        <w:rPr>
          <w:rFonts w:ascii="Sofia Pro" w:eastAsia="Times New Roman" w:hAnsi="Sofia Pro" w:cs="Segoe UI"/>
          <w:kern w:val="0"/>
          <w:sz w:val="21"/>
          <w:szCs w:val="21"/>
          <w:lang w:eastAsia="en-GB"/>
        </w:rPr>
        <w:br/>
        <w:t>Examples include the Charity Commission, ICO, HSE, HM Treasury (</w:t>
      </w:r>
      <w:r w:rsidRPr="00DB6850">
        <w:rPr>
          <w:rFonts w:ascii="Sofia Pro" w:eastAsia="Times New Roman" w:hAnsi="Sofia Pro" w:cs="Segoe UI"/>
          <w:sz w:val="21"/>
          <w:szCs w:val="21"/>
          <w:lang w:eastAsia="en-GB"/>
        </w:rPr>
        <w:t>sanctions related matters), and other bodies listed in UK whistleblowing legislation.</w:t>
      </w:r>
    </w:p>
    <w:p w14:paraId="2DB6D696"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7E3799B9" wp14:editId="3611554E">
                <wp:extent cx="41614728" cy="1271"/>
                <wp:effectExtent l="0" t="0" r="28572" b="36829"/>
                <wp:docPr id="1379857462" name="Horizontal Line 51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C1DE1DE" id="Horizontal Line 51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A52F688"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9. Record Keeping</w:t>
      </w:r>
    </w:p>
    <w:p w14:paraId="3BC8A888"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9.1</w:t>
      </w:r>
      <w:r w:rsidRPr="00DB6850">
        <w:rPr>
          <w:rFonts w:ascii="Sofia Pro" w:eastAsia="Times New Roman" w:hAnsi="Sofia Pro" w:cs="Segoe UI"/>
          <w:kern w:val="0"/>
          <w:sz w:val="21"/>
          <w:szCs w:val="21"/>
          <w:lang w:eastAsia="en-GB"/>
        </w:rPr>
        <w:br/>
        <w:t>The Switch will keep secure records of all whistleblowing concerns in accordance with:</w:t>
      </w:r>
    </w:p>
    <w:p w14:paraId="1BF63D2E" w14:textId="77777777" w:rsidR="00541941" w:rsidRPr="00DB6850" w:rsidRDefault="00B87784">
      <w:pPr>
        <w:numPr>
          <w:ilvl w:val="0"/>
          <w:numId w:val="4"/>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UK GDPR</w:t>
      </w:r>
    </w:p>
    <w:p w14:paraId="5095C409" w14:textId="77777777" w:rsidR="00541941" w:rsidRPr="00DB6850" w:rsidRDefault="00B87784">
      <w:pPr>
        <w:numPr>
          <w:ilvl w:val="0"/>
          <w:numId w:val="4"/>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Data Protection Act 2018</w:t>
      </w:r>
    </w:p>
    <w:p w14:paraId="1C8E5B33" w14:textId="77777777" w:rsidR="00541941" w:rsidRPr="00DB6850" w:rsidRDefault="00B87784">
      <w:pPr>
        <w:numPr>
          <w:ilvl w:val="0"/>
          <w:numId w:val="4"/>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Data (Use and Access) Act 2025–2026</w:t>
      </w:r>
    </w:p>
    <w:p w14:paraId="1C4D6369" w14:textId="77777777" w:rsidR="00541941" w:rsidRPr="00DB6850" w:rsidRDefault="00B87784">
      <w:pPr>
        <w:numPr>
          <w:ilvl w:val="0"/>
          <w:numId w:val="4"/>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ICO expectations regarding minimisation, retention, security, and access controls</w:t>
      </w:r>
    </w:p>
    <w:p w14:paraId="5FEB693E"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9.2</w:t>
      </w:r>
      <w:r w:rsidRPr="00DB6850">
        <w:rPr>
          <w:rFonts w:ascii="Sofia Pro" w:eastAsia="Times New Roman" w:hAnsi="Sofia Pro" w:cs="Segoe UI"/>
          <w:kern w:val="0"/>
          <w:sz w:val="21"/>
          <w:szCs w:val="21"/>
          <w:lang w:eastAsia="en-GB"/>
        </w:rPr>
        <w:br/>
        <w:t xml:space="preserve">Retention Period: </w:t>
      </w:r>
      <w:r w:rsidRPr="00DB6850">
        <w:rPr>
          <w:rFonts w:ascii="Sofia Pro" w:eastAsia="Times New Roman" w:hAnsi="Sofia Pro" w:cs="Segoe UI"/>
          <w:b/>
          <w:bCs/>
          <w:kern w:val="0"/>
          <w:sz w:val="21"/>
          <w:szCs w:val="21"/>
          <w:lang w:eastAsia="en-GB"/>
        </w:rPr>
        <w:t>6 years</w:t>
      </w:r>
      <w:r w:rsidRPr="00DB6850">
        <w:rPr>
          <w:rFonts w:ascii="Sofia Pro" w:eastAsia="Times New Roman" w:hAnsi="Sofia Pro" w:cs="Segoe UI"/>
          <w:kern w:val="0"/>
          <w:sz w:val="21"/>
          <w:szCs w:val="21"/>
          <w:lang w:eastAsia="en-GB"/>
        </w:rPr>
        <w:t>, unless a longer period is legally required.</w:t>
      </w:r>
    </w:p>
    <w:p w14:paraId="65314EE8"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520257FE" wp14:editId="3EF69021">
                <wp:extent cx="41614728" cy="1271"/>
                <wp:effectExtent l="0" t="0" r="28572" b="36829"/>
                <wp:docPr id="1065679253" name="Horizontal Line 51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FFB5484" id="Horizontal Line 51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FACFCE3"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10. Support for Individuals</w:t>
      </w:r>
    </w:p>
    <w:p w14:paraId="1A6E6BCE"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10.1</w:t>
      </w:r>
      <w:r w:rsidRPr="00DB6850">
        <w:rPr>
          <w:rFonts w:ascii="Sofia Pro" w:eastAsia="Times New Roman" w:hAnsi="Sofia Pro" w:cs="Segoe UI"/>
          <w:kern w:val="0"/>
          <w:sz w:val="21"/>
          <w:szCs w:val="21"/>
          <w:lang w:eastAsia="en-GB"/>
        </w:rPr>
        <w:br/>
        <w:t xml:space="preserve">The Switch will not tolerate harassment or victimisation of any individual who raises a disclosure. Concerns about retaliation should be reported to </w:t>
      </w:r>
      <w:r w:rsidRPr="00DB6850">
        <w:rPr>
          <w:rFonts w:ascii="Sofia Pro" w:eastAsia="Times New Roman" w:hAnsi="Sofia Pro" w:cs="Segoe UI"/>
          <w:sz w:val="21"/>
          <w:szCs w:val="21"/>
          <w:lang w:eastAsia="en-GB"/>
        </w:rPr>
        <w:t>our Office Manager.</w:t>
      </w:r>
    </w:p>
    <w:p w14:paraId="192A816D"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14040833" wp14:editId="79BB4791">
                <wp:extent cx="41614728" cy="1271"/>
                <wp:effectExtent l="0" t="0" r="28572" b="36829"/>
                <wp:docPr id="690037762" name="Horizontal Line 51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62EE4BA" id="Horizontal Line 51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EB3DFEF"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11. Further Advice</w:t>
      </w:r>
    </w:p>
    <w:p w14:paraId="25A2832E"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11.1</w:t>
      </w:r>
      <w:r w:rsidRPr="00DB6850">
        <w:rPr>
          <w:rFonts w:ascii="Sofia Pro" w:eastAsia="Times New Roman" w:hAnsi="Sofia Pro" w:cs="Segoe UI"/>
          <w:kern w:val="0"/>
          <w:sz w:val="21"/>
          <w:szCs w:val="21"/>
          <w:lang w:eastAsia="en-GB"/>
        </w:rPr>
        <w:br/>
        <w:t xml:space="preserve">Confidential advice is available from </w:t>
      </w:r>
      <w:r w:rsidRPr="00DB6850">
        <w:rPr>
          <w:rFonts w:ascii="Sofia Pro" w:eastAsia="Times New Roman" w:hAnsi="Sofia Pro" w:cs="Segoe UI"/>
          <w:b/>
          <w:bCs/>
          <w:kern w:val="0"/>
          <w:sz w:val="21"/>
          <w:szCs w:val="21"/>
          <w:lang w:eastAsia="en-GB"/>
        </w:rPr>
        <w:t>Protect</w:t>
      </w:r>
      <w:r w:rsidRPr="00DB6850">
        <w:rPr>
          <w:rFonts w:ascii="Sofia Pro" w:eastAsia="Times New Roman" w:hAnsi="Sofia Pro" w:cs="Segoe UI"/>
          <w:kern w:val="0"/>
          <w:sz w:val="21"/>
          <w:szCs w:val="21"/>
          <w:lang w:eastAsia="en-GB"/>
        </w:rPr>
        <w:t>:</w:t>
      </w:r>
      <w:r w:rsidRPr="00DB6850">
        <w:rPr>
          <w:rFonts w:ascii="Sofia Pro" w:eastAsia="Times New Roman" w:hAnsi="Sofia Pro" w:cs="Segoe UI"/>
          <w:kern w:val="0"/>
          <w:sz w:val="21"/>
          <w:szCs w:val="21"/>
          <w:lang w:eastAsia="en-GB"/>
        </w:rPr>
        <w:br/>
        <w:t>https://protect-advice.org.uk • 020 3117 2520</w:t>
      </w:r>
    </w:p>
    <w:p w14:paraId="668F4DC1" w14:textId="77777777" w:rsidR="00541941" w:rsidRPr="00DB6850" w:rsidRDefault="00B87784">
      <w:pPr>
        <w:spacing w:after="0" w:line="300" w:lineRule="atLeast"/>
        <w:rPr>
          <w:rFonts w:ascii="Sofia Pro" w:hAnsi="Sofia Pro"/>
        </w:rPr>
      </w:pPr>
      <w:r w:rsidRPr="00DB6850">
        <w:rPr>
          <w:rFonts w:ascii="Sofia Pro" w:eastAsia="Times New Roman" w:hAnsi="Sofia Pro" w:cs="Segoe UI"/>
          <w:noProof/>
          <w:kern w:val="0"/>
          <w:sz w:val="21"/>
          <w:szCs w:val="21"/>
          <w:lang w:eastAsia="en-GB"/>
        </w:rPr>
        <mc:AlternateContent>
          <mc:Choice Requires="wps">
            <w:drawing>
              <wp:inline distT="0" distB="0" distL="0" distR="0" wp14:anchorId="20B58AFA" wp14:editId="6FA151B0">
                <wp:extent cx="41614728" cy="1271"/>
                <wp:effectExtent l="0" t="0" r="28572" b="36829"/>
                <wp:docPr id="291920947" name="Horizontal Line 51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EBED5DC" id="Horizontal Line 51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2A6E159" w14:textId="77777777" w:rsidR="00541941" w:rsidRPr="00DB6850" w:rsidRDefault="00B87784">
      <w:pPr>
        <w:spacing w:before="100" w:after="100" w:line="300" w:lineRule="atLeast"/>
        <w:outlineLvl w:val="1"/>
        <w:rPr>
          <w:rFonts w:ascii="Sofia Pro" w:eastAsia="Times New Roman" w:hAnsi="Sofia Pro" w:cs="Segoe UI"/>
          <w:b/>
          <w:bCs/>
          <w:kern w:val="0"/>
          <w:sz w:val="36"/>
          <w:szCs w:val="36"/>
          <w:lang w:eastAsia="en-GB"/>
        </w:rPr>
      </w:pPr>
      <w:r w:rsidRPr="00DB6850">
        <w:rPr>
          <w:rFonts w:ascii="Sofia Pro" w:eastAsia="Times New Roman" w:hAnsi="Sofia Pro" w:cs="Segoe UI"/>
          <w:b/>
          <w:bCs/>
          <w:kern w:val="0"/>
          <w:sz w:val="36"/>
          <w:szCs w:val="36"/>
          <w:lang w:eastAsia="en-GB"/>
        </w:rPr>
        <w:t>12. Policy Review Frequency</w:t>
      </w:r>
    </w:p>
    <w:p w14:paraId="771FCCF3" w14:textId="77777777" w:rsidR="00541941" w:rsidRPr="00DB6850" w:rsidRDefault="00B87784">
      <w:pPr>
        <w:spacing w:before="100" w:after="100" w:line="300" w:lineRule="atLeast"/>
        <w:rPr>
          <w:rFonts w:ascii="Sofia Pro" w:hAnsi="Sofia Pro"/>
        </w:rPr>
      </w:pPr>
      <w:r w:rsidRPr="00DB6850">
        <w:rPr>
          <w:rFonts w:ascii="Sofia Pro" w:eastAsia="Times New Roman" w:hAnsi="Sofia Pro" w:cs="Segoe UI"/>
          <w:b/>
          <w:bCs/>
          <w:kern w:val="0"/>
          <w:sz w:val="21"/>
          <w:szCs w:val="21"/>
          <w:lang w:eastAsia="en-GB"/>
        </w:rPr>
        <w:t>12.1</w:t>
      </w:r>
      <w:r w:rsidRPr="00DB6850">
        <w:rPr>
          <w:rFonts w:ascii="Sofia Pro" w:eastAsia="Times New Roman" w:hAnsi="Sofia Pro" w:cs="Segoe UI"/>
          <w:kern w:val="0"/>
          <w:sz w:val="21"/>
          <w:szCs w:val="21"/>
          <w:lang w:eastAsia="en-GB"/>
        </w:rPr>
        <w:br/>
        <w:t xml:space="preserve">This policy must be reviewed </w:t>
      </w:r>
      <w:r w:rsidRPr="00DB6850">
        <w:rPr>
          <w:rFonts w:ascii="Sofia Pro" w:eastAsia="Times New Roman" w:hAnsi="Sofia Pro" w:cs="Segoe UI"/>
          <w:b/>
          <w:bCs/>
          <w:kern w:val="0"/>
          <w:sz w:val="21"/>
          <w:szCs w:val="21"/>
          <w:lang w:eastAsia="en-GB"/>
        </w:rPr>
        <w:t>every 2 years</w:t>
      </w:r>
      <w:r w:rsidRPr="00DB6850">
        <w:rPr>
          <w:rFonts w:ascii="Sofia Pro" w:eastAsia="Times New Roman" w:hAnsi="Sofia Pro" w:cs="Segoe UI"/>
          <w:kern w:val="0"/>
          <w:sz w:val="21"/>
          <w:szCs w:val="21"/>
          <w:lang w:eastAsia="en-GB"/>
        </w:rPr>
        <w:t>, or earlier if:</w:t>
      </w:r>
    </w:p>
    <w:p w14:paraId="1A067A45" w14:textId="77777777" w:rsidR="00541941" w:rsidRPr="00DB6850" w:rsidRDefault="00B87784">
      <w:pPr>
        <w:numPr>
          <w:ilvl w:val="0"/>
          <w:numId w:val="5"/>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Legislation changes</w:t>
      </w:r>
    </w:p>
    <w:p w14:paraId="058D6370" w14:textId="77777777" w:rsidR="00541941" w:rsidRPr="00DB6850" w:rsidRDefault="00B87784">
      <w:pPr>
        <w:numPr>
          <w:ilvl w:val="0"/>
          <w:numId w:val="5"/>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ICO guidance is updated</w:t>
      </w:r>
    </w:p>
    <w:p w14:paraId="1C2C8646" w14:textId="77777777" w:rsidR="00541941" w:rsidRPr="00DB6850" w:rsidRDefault="00B87784">
      <w:pPr>
        <w:numPr>
          <w:ilvl w:val="0"/>
          <w:numId w:val="5"/>
        </w:numPr>
        <w:spacing w:before="100" w:after="100" w:line="300" w:lineRule="atLeast"/>
        <w:rPr>
          <w:rFonts w:ascii="Sofia Pro" w:eastAsia="Times New Roman" w:hAnsi="Sofia Pro" w:cs="Segoe UI"/>
          <w:kern w:val="0"/>
          <w:sz w:val="21"/>
          <w:szCs w:val="21"/>
          <w:lang w:eastAsia="en-GB"/>
        </w:rPr>
      </w:pPr>
      <w:r w:rsidRPr="00DB6850">
        <w:rPr>
          <w:rFonts w:ascii="Sofia Pro" w:eastAsia="Times New Roman" w:hAnsi="Sofia Pro" w:cs="Segoe UI"/>
          <w:kern w:val="0"/>
          <w:sz w:val="21"/>
          <w:szCs w:val="21"/>
          <w:lang w:eastAsia="en-GB"/>
        </w:rPr>
        <w:t>Safeguarding or governance requirements change</w:t>
      </w:r>
    </w:p>
    <w:p w14:paraId="7327E2F3" w14:textId="77777777" w:rsidR="00541941" w:rsidRPr="00DB6850" w:rsidRDefault="00B87784">
      <w:pPr>
        <w:numPr>
          <w:ilvl w:val="0"/>
          <w:numId w:val="5"/>
        </w:numPr>
        <w:spacing w:before="100" w:after="100" w:line="300" w:lineRule="atLeast"/>
        <w:rPr>
          <w:rFonts w:ascii="Sofia Pro" w:hAnsi="Sofia Pro"/>
        </w:rPr>
      </w:pPr>
      <w:r w:rsidRPr="00DB6850">
        <w:rPr>
          <w:rFonts w:ascii="Sofia Pro" w:eastAsia="Times New Roman" w:hAnsi="Sofia Pro" w:cs="Segoe UI"/>
          <w:kern w:val="0"/>
          <w:sz w:val="21"/>
          <w:szCs w:val="21"/>
          <w:lang w:eastAsia="en-GB"/>
        </w:rPr>
        <w:t>Issues arise requiring earlier review</w:t>
      </w:r>
    </w:p>
    <w:sectPr w:rsidR="00541941" w:rsidRPr="00DB6850" w:rsidSect="003D6B5F">
      <w:headerReference w:type="default" r:id="rId10"/>
      <w:pgSz w:w="11906" w:h="16838"/>
      <w:pgMar w:top="1440" w:right="1440" w:bottom="1440" w:left="144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8D22" w14:textId="77777777" w:rsidR="006A50EC" w:rsidRDefault="006A50EC">
      <w:pPr>
        <w:spacing w:after="0" w:line="240" w:lineRule="auto"/>
      </w:pPr>
      <w:r>
        <w:separator/>
      </w:r>
    </w:p>
  </w:endnote>
  <w:endnote w:type="continuationSeparator" w:id="0">
    <w:p w14:paraId="1ECC8A2C" w14:textId="77777777" w:rsidR="006A50EC" w:rsidRDefault="006A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fia Pro">
    <w:panose1 w:val="00000500000000000000"/>
    <w:charset w:val="00"/>
    <w:family w:val="modern"/>
    <w:notTrueType/>
    <w:pitch w:val="variable"/>
    <w:sig w:usb0="A00002AF" w:usb1="5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7A87" w14:textId="77777777" w:rsidR="006A50EC" w:rsidRDefault="006A50EC">
      <w:pPr>
        <w:spacing w:after="0" w:line="240" w:lineRule="auto"/>
      </w:pPr>
      <w:r>
        <w:rPr>
          <w:color w:val="000000"/>
        </w:rPr>
        <w:separator/>
      </w:r>
    </w:p>
  </w:footnote>
  <w:footnote w:type="continuationSeparator" w:id="0">
    <w:p w14:paraId="0AAAE729" w14:textId="77777777" w:rsidR="006A50EC" w:rsidRDefault="006A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9DAC" w14:textId="77777777" w:rsidR="003D6B5F" w:rsidRDefault="003D6B5F" w:rsidP="003D6B5F">
    <w:pPr>
      <w:pStyle w:val="NormalWeb"/>
      <w:ind w:left="8640"/>
    </w:pPr>
    <w:r>
      <w:rPr>
        <w:noProof/>
      </w:rPr>
      <w:drawing>
        <wp:inline distT="0" distB="0" distL="0" distR="0" wp14:anchorId="18ED994B" wp14:editId="013B351C">
          <wp:extent cx="716280" cy="716280"/>
          <wp:effectExtent l="0" t="0" r="7620" b="7620"/>
          <wp:docPr id="2" name="Picture 1" descr="A purple letter 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letter 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7BC"/>
    <w:multiLevelType w:val="multilevel"/>
    <w:tmpl w:val="691CF2D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332E3188"/>
    <w:multiLevelType w:val="multilevel"/>
    <w:tmpl w:val="ED487B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4B10614"/>
    <w:multiLevelType w:val="multilevel"/>
    <w:tmpl w:val="B9FCAA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0236A7B"/>
    <w:multiLevelType w:val="multilevel"/>
    <w:tmpl w:val="9AE0F47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74DA21E8"/>
    <w:multiLevelType w:val="multilevel"/>
    <w:tmpl w:val="178CBD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63046382">
    <w:abstractNumId w:val="3"/>
  </w:num>
  <w:num w:numId="2" w16cid:durableId="1867407334">
    <w:abstractNumId w:val="2"/>
  </w:num>
  <w:num w:numId="3" w16cid:durableId="86855978">
    <w:abstractNumId w:val="1"/>
  </w:num>
  <w:num w:numId="4" w16cid:durableId="724262344">
    <w:abstractNumId w:val="4"/>
  </w:num>
  <w:num w:numId="5" w16cid:durableId="23405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41"/>
    <w:rsid w:val="00081EED"/>
    <w:rsid w:val="000B3A62"/>
    <w:rsid w:val="00153313"/>
    <w:rsid w:val="001A00ED"/>
    <w:rsid w:val="00327CA3"/>
    <w:rsid w:val="003B0EFC"/>
    <w:rsid w:val="003D6B5F"/>
    <w:rsid w:val="004D3B20"/>
    <w:rsid w:val="00534494"/>
    <w:rsid w:val="00541941"/>
    <w:rsid w:val="00645404"/>
    <w:rsid w:val="006A50EC"/>
    <w:rsid w:val="00717CB4"/>
    <w:rsid w:val="00777B83"/>
    <w:rsid w:val="007E6260"/>
    <w:rsid w:val="009224B5"/>
    <w:rsid w:val="00A5583B"/>
    <w:rsid w:val="00A856F0"/>
    <w:rsid w:val="00A9759A"/>
    <w:rsid w:val="00B87784"/>
    <w:rsid w:val="00C0086B"/>
    <w:rsid w:val="00DB6850"/>
    <w:rsid w:val="00E970F9"/>
    <w:rsid w:val="00EA32E1"/>
    <w:rsid w:val="00F42BE9"/>
    <w:rsid w:val="00F52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3846"/>
  <w15:docId w15:val="{8F43C2D7-6585-4DE7-81DC-F0967003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ascii="Aptos" w:eastAsia="Times New Roman" w:hAnsi="Aptos" w:cs="Times New Roman"/>
      <w:color w:val="0F4761"/>
      <w:sz w:val="28"/>
      <w:szCs w:val="28"/>
    </w:rPr>
  </w:style>
  <w:style w:type="character" w:customStyle="1" w:styleId="Heading4Char">
    <w:name w:val="Heading 4 Char"/>
    <w:basedOn w:val="DefaultParagraphFont"/>
    <w:rPr>
      <w:rFonts w:ascii="Aptos" w:eastAsia="Times New Roman" w:hAnsi="Aptos" w:cs="Times New Roman"/>
      <w:i/>
      <w:iCs/>
      <w:color w:val="0F4761"/>
    </w:rPr>
  </w:style>
  <w:style w:type="character" w:customStyle="1" w:styleId="Heading5Char">
    <w:name w:val="Heading 5 Char"/>
    <w:basedOn w:val="DefaultParagraphFont"/>
    <w:rPr>
      <w:rFonts w:ascii="Aptos" w:eastAsia="Times New Roman" w:hAnsi="Aptos" w:cs="Times New Roman"/>
      <w:color w:val="0F4761"/>
    </w:rPr>
  </w:style>
  <w:style w:type="character" w:customStyle="1" w:styleId="Heading6Char">
    <w:name w:val="Heading 6 Char"/>
    <w:basedOn w:val="DefaultParagraphFont"/>
    <w:rPr>
      <w:rFonts w:ascii="Aptos" w:eastAsia="Times New Roman" w:hAnsi="Aptos" w:cs="Times New Roman"/>
      <w:i/>
      <w:iCs/>
      <w:color w:val="595959"/>
    </w:rPr>
  </w:style>
  <w:style w:type="character" w:customStyle="1" w:styleId="Heading7Char">
    <w:name w:val="Heading 7 Char"/>
    <w:basedOn w:val="DefaultParagraphFont"/>
    <w:rPr>
      <w:rFonts w:ascii="Aptos" w:eastAsia="Times New Roman" w:hAnsi="Aptos" w:cs="Times New Roman"/>
      <w:color w:val="595959"/>
    </w:rPr>
  </w:style>
  <w:style w:type="character" w:customStyle="1" w:styleId="Heading8Char">
    <w:name w:val="Heading 8 Char"/>
    <w:basedOn w:val="DefaultParagraphFont"/>
    <w:rPr>
      <w:rFonts w:ascii="Aptos" w:eastAsia="Times New Roman" w:hAnsi="Aptos" w:cs="Times New Roman"/>
      <w:i/>
      <w:iCs/>
      <w:color w:val="272727"/>
    </w:rPr>
  </w:style>
  <w:style w:type="character" w:customStyle="1" w:styleId="Heading9Char">
    <w:name w:val="Heading 9 Char"/>
    <w:basedOn w:val="DefaultParagraphFont"/>
    <w:rPr>
      <w:rFonts w:ascii="Aptos" w:eastAsia="Times New Roman" w:hAnsi="Aptos"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ascii="Aptos" w:eastAsia="Times New Roman" w:hAnsi="Aptos"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3D6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B5F"/>
  </w:style>
  <w:style w:type="paragraph" w:styleId="Footer">
    <w:name w:val="footer"/>
    <w:basedOn w:val="Normal"/>
    <w:link w:val="FooterChar"/>
    <w:uiPriority w:val="99"/>
    <w:unhideWhenUsed/>
    <w:rsid w:val="003D6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B5F"/>
  </w:style>
  <w:style w:type="paragraph" w:styleId="NormalWeb">
    <w:name w:val="Normal (Web)"/>
    <w:basedOn w:val="Normal"/>
    <w:uiPriority w:val="99"/>
    <w:semiHidden/>
    <w:unhideWhenUsed/>
    <w:rsid w:val="003D6B5F"/>
    <w:pPr>
      <w:suppressAutoHyphens w:val="0"/>
      <w:autoSpaceDN/>
      <w:spacing w:before="100" w:beforeAutospacing="1" w:after="100" w:afterAutospacing="1" w:line="240" w:lineRule="auto"/>
      <w:textAlignment w:val="auto"/>
    </w:pPr>
    <w:rPr>
      <w:rFonts w:ascii="Times New Roman" w:eastAsia="Times New Roman" w:hAnsi="Times New Roman"/>
      <w:kern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office.com/e/xugbfeNvPC" TargetMode="External"/><Relationship Id="rId3" Type="http://schemas.openxmlformats.org/officeDocument/2006/relationships/settings" Target="settings.xml"/><Relationship Id="rId7" Type="http://schemas.openxmlformats.org/officeDocument/2006/relationships/hyperlink" Target="https://theswitch.org/policies-and-proced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6396</Characters>
  <Application>Microsoft Office Word</Application>
  <DocSecurity>0</DocSecurity>
  <Lines>182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Lattimore</dc:creator>
  <dc:description/>
  <cp:lastModifiedBy>John Bunney</cp:lastModifiedBy>
  <cp:revision>2</cp:revision>
  <dcterms:created xsi:type="dcterms:W3CDTF">2026-02-09T11:45:00Z</dcterms:created>
  <dcterms:modified xsi:type="dcterms:W3CDTF">2026-02-09T11:45:00Z</dcterms:modified>
</cp:coreProperties>
</file>